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785"/>
        <w:gridCol w:w="4786"/>
      </w:tblGrid>
      <w:tr w:rsidR="002F5C95" w:rsidTr="002F5C95">
        <w:tc>
          <w:tcPr>
            <w:tcW w:w="4785" w:type="dxa"/>
          </w:tcPr>
          <w:p w:rsidR="002F5C95" w:rsidRDefault="002F5C95" w:rsidP="002F5C9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5">
              <w:rPr>
                <w:rFonts w:ascii="Times New Roman" w:hAnsi="Times New Roman"/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4786" w:type="dxa"/>
          </w:tcPr>
          <w:p w:rsidR="002F5C95" w:rsidRDefault="002F5C95" w:rsidP="002F5C9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5">
              <w:rPr>
                <w:rFonts w:ascii="Times New Roman" w:hAnsi="Times New Roman"/>
                <w:sz w:val="28"/>
                <w:szCs w:val="28"/>
              </w:rPr>
              <w:t>Методические материалы по развитию естественнонаучного мышления одаренных детей и детей, мотивированных к обучению</w:t>
            </w:r>
          </w:p>
        </w:tc>
      </w:tr>
      <w:tr w:rsidR="002F5C95" w:rsidTr="002F5C95">
        <w:tc>
          <w:tcPr>
            <w:tcW w:w="4785" w:type="dxa"/>
          </w:tcPr>
          <w:p w:rsidR="002F5C95" w:rsidRDefault="002F5C95" w:rsidP="002F5C9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5">
              <w:rPr>
                <w:rFonts w:ascii="Times New Roman" w:hAnsi="Times New Roman"/>
                <w:b/>
                <w:sz w:val="28"/>
                <w:szCs w:val="28"/>
              </w:rPr>
              <w:t>Краткие сведения об авторе:</w:t>
            </w:r>
          </w:p>
        </w:tc>
        <w:tc>
          <w:tcPr>
            <w:tcW w:w="4786" w:type="dxa"/>
          </w:tcPr>
          <w:p w:rsidR="002F5C95" w:rsidRPr="002F5C95" w:rsidRDefault="002F5C95" w:rsidP="002F5C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5C95">
              <w:rPr>
                <w:rFonts w:ascii="Times New Roman" w:hAnsi="Times New Roman"/>
                <w:sz w:val="28"/>
                <w:szCs w:val="28"/>
              </w:rPr>
              <w:t>Алимбаева Алина Кажирахимовна, учитель химии и биологии, первой категории</w:t>
            </w:r>
          </w:p>
        </w:tc>
      </w:tr>
      <w:tr w:rsidR="002F5C95" w:rsidTr="002F5C95">
        <w:tc>
          <w:tcPr>
            <w:tcW w:w="4785" w:type="dxa"/>
          </w:tcPr>
          <w:p w:rsidR="002F5C95" w:rsidRDefault="002F5C95" w:rsidP="002F5C9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5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адрес:  </w:t>
            </w:r>
          </w:p>
        </w:tc>
        <w:tc>
          <w:tcPr>
            <w:tcW w:w="4786" w:type="dxa"/>
          </w:tcPr>
          <w:p w:rsidR="002F5C95" w:rsidRPr="002F5C95" w:rsidRDefault="002F5C95" w:rsidP="002F5C9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2F5C95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tvoe.11@mail.ru</w:t>
              </w:r>
            </w:hyperlink>
            <w:r w:rsidRPr="002F5C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F5C95" w:rsidTr="002F5C95">
        <w:tc>
          <w:tcPr>
            <w:tcW w:w="4785" w:type="dxa"/>
          </w:tcPr>
          <w:p w:rsidR="002F5C95" w:rsidRDefault="002F5C95" w:rsidP="002F5C9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C95">
              <w:rPr>
                <w:rFonts w:ascii="Times New Roman" w:hAnsi="Times New Roman"/>
                <w:b/>
                <w:sz w:val="28"/>
                <w:szCs w:val="28"/>
              </w:rPr>
              <w:t>Полное название учебного заведения:</w:t>
            </w:r>
          </w:p>
        </w:tc>
        <w:tc>
          <w:tcPr>
            <w:tcW w:w="4786" w:type="dxa"/>
          </w:tcPr>
          <w:p w:rsidR="002F5C95" w:rsidRPr="002F5C95" w:rsidRDefault="002F5C95" w:rsidP="002F5C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5C95">
              <w:rPr>
                <w:rFonts w:ascii="Times New Roman" w:hAnsi="Times New Roman"/>
                <w:sz w:val="28"/>
                <w:szCs w:val="28"/>
              </w:rPr>
              <w:t>КГУ «Средняя школа№12»  ГУ «Отдел образования акимата Житикаринского района»</w:t>
            </w:r>
          </w:p>
        </w:tc>
      </w:tr>
    </w:tbl>
    <w:p w:rsidR="002F5C95" w:rsidRDefault="002F5C95" w:rsidP="002F5C9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67C2A" w:rsidRDefault="002F5C95" w:rsidP="00B67C2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5C95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2F5C95" w:rsidRPr="00B67C2A" w:rsidRDefault="002F5C95" w:rsidP="00B67C2A">
      <w:pPr>
        <w:spacing w:line="360" w:lineRule="auto"/>
        <w:jc w:val="both"/>
        <w:rPr>
          <w:rStyle w:val="apple-converted-space"/>
          <w:rFonts w:ascii="Times New Roman" w:hAnsi="Times New Roman"/>
          <w:b/>
          <w:caps/>
          <w:sz w:val="28"/>
          <w:szCs w:val="28"/>
        </w:rPr>
      </w:pPr>
      <w:r w:rsidRPr="00B67C2A">
        <w:rPr>
          <w:rFonts w:ascii="Times New Roman" w:hAnsi="Times New Roman"/>
          <w:color w:val="000000"/>
          <w:sz w:val="28"/>
          <w:szCs w:val="28"/>
        </w:rPr>
        <w:t xml:space="preserve">Важнейшей целью </w:t>
      </w:r>
      <w:r w:rsidR="00B67C2A" w:rsidRPr="00B67C2A">
        <w:rPr>
          <w:rFonts w:ascii="Times New Roman" w:hAnsi="Times New Roman"/>
          <w:color w:val="000000"/>
          <w:sz w:val="28"/>
          <w:szCs w:val="28"/>
        </w:rPr>
        <w:t xml:space="preserve">данного интегрированного занятия </w:t>
      </w:r>
      <w:r w:rsidRPr="00B67C2A">
        <w:rPr>
          <w:rFonts w:ascii="Times New Roman" w:hAnsi="Times New Roman"/>
          <w:color w:val="000000"/>
          <w:sz w:val="28"/>
          <w:szCs w:val="28"/>
        </w:rPr>
        <w:t xml:space="preserve"> является показ красоты как главной категории эстетики биологии и математики. Такие уроки, раскрывая эффективность применения математических методов в различных областях биологии, помогают увидеть мир в единстве и многообразии.</w:t>
      </w:r>
      <w:r w:rsidRPr="00B67C2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67C2A" w:rsidRPr="00B67C2A" w:rsidRDefault="00B67C2A" w:rsidP="00B67C2A">
      <w:pPr>
        <w:shd w:val="clear" w:color="auto" w:fill="FFFFFF"/>
        <w:spacing w:after="0" w:line="360" w:lineRule="auto"/>
        <w:ind w:right="3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 достижения данной цели необходимо решение следующих </w:t>
      </w:r>
      <w:r w:rsidRPr="00B67C2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задач:</w:t>
      </w:r>
    </w:p>
    <w:p w:rsidR="00B67C2A" w:rsidRPr="00B67C2A" w:rsidRDefault="00B67C2A" w:rsidP="00B67C2A">
      <w:pPr>
        <w:numPr>
          <w:ilvl w:val="0"/>
          <w:numId w:val="8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Согласование с педагогами других предметов возможные темы или вопросы для их совместного изучения.</w:t>
      </w:r>
    </w:p>
    <w:p w:rsidR="00B67C2A" w:rsidRPr="00B67C2A" w:rsidRDefault="00B67C2A" w:rsidP="00B67C2A">
      <w:pPr>
        <w:numPr>
          <w:ilvl w:val="0"/>
          <w:numId w:val="8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перечня межпредметных связей биологии с другими научными дисциплинами и учебными предметами.</w:t>
      </w:r>
    </w:p>
    <w:p w:rsidR="00B67C2A" w:rsidRPr="00B67C2A" w:rsidRDefault="00B67C2A" w:rsidP="00B67C2A">
      <w:pPr>
        <w:numPr>
          <w:ilvl w:val="0"/>
          <w:numId w:val="8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изменений в тематическое и поурочное планирование по биологии в соответствии с договоренностью с другими предметниками.</w:t>
      </w:r>
    </w:p>
    <w:p w:rsidR="00B67C2A" w:rsidRPr="00B67C2A" w:rsidRDefault="00B67C2A" w:rsidP="00B67C2A">
      <w:pPr>
        <w:numPr>
          <w:ilvl w:val="0"/>
          <w:numId w:val="8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интересов школьников к предмету. Повышение их активности в познавательной деятельности.</w:t>
      </w:r>
    </w:p>
    <w:p w:rsidR="00B67C2A" w:rsidRPr="00B67C2A" w:rsidRDefault="00B67C2A" w:rsidP="00B67C2A">
      <w:pPr>
        <w:numPr>
          <w:ilvl w:val="0"/>
          <w:numId w:val="8"/>
        </w:numPr>
        <w:shd w:val="clear" w:color="auto" w:fill="FFFFFF"/>
        <w:spacing w:after="0" w:line="360" w:lineRule="auto"/>
        <w:ind w:left="0" w:right="35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Пополнение педагогического опыта различными технологиями,  методиками, формами и методами организации познавательной деятельности на уроке.</w:t>
      </w:r>
    </w:p>
    <w:p w:rsidR="00B67C2A" w:rsidRPr="002F5C95" w:rsidRDefault="00B67C2A" w:rsidP="00B67C2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67C2A" w:rsidRDefault="00B67C2A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F5C95" w:rsidRDefault="002F5C95" w:rsidP="002F5C95">
      <w:pPr>
        <w:spacing w:after="0" w:line="36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86AC6" w:rsidRPr="002F5C95" w:rsidRDefault="00486AC6" w:rsidP="002F5C95">
      <w:pPr>
        <w:spacing w:after="0" w:line="36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>Интегрированный урок математики и биологии по теме:</w:t>
      </w:r>
      <w:r w:rsidRPr="002F5C9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Золотая пропорция. Золотое сечение в природе.</w:t>
      </w:r>
    </w:p>
    <w:p w:rsidR="0068726E" w:rsidRPr="002F5C95" w:rsidRDefault="0068726E" w:rsidP="002F5C95">
      <w:pPr>
        <w:spacing w:after="0" w:line="36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Класс:</w:t>
      </w:r>
      <w:r w:rsidRPr="002F5C9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7 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занятия: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интегрированный урок.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создание комплекса условий для  формирования естественнонаучной картины мира  у обучающихся посредством взаимодействия педагогов  и обучающихся в организации и осуществлении проектной деятельности.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486AC6" w:rsidRPr="002F5C95" w:rsidRDefault="00486AC6" w:rsidP="002F5C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познавательный  интерес  учащихся путем интеграции знаний по математике и биологии;</w:t>
      </w:r>
    </w:p>
    <w:p w:rsidR="00486AC6" w:rsidRPr="002F5C95" w:rsidRDefault="00486AC6" w:rsidP="002F5C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Расширить и углубить знания учащихся о пропорциональной зависимости  в  строении тела человека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t>, в природе и в искусстве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AC6" w:rsidRPr="002F5C95" w:rsidRDefault="00486AC6" w:rsidP="002F5C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  взаимодействия в группе, умения принимать позицию сверстников, аргументировать собственную точку зрения, объективно оценивать результаты собственной деятельности и деятельности одноклассников.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урока:</w:t>
      </w:r>
    </w:p>
    <w:p w:rsidR="00486AC6" w:rsidRPr="002F5C95" w:rsidRDefault="00486AC6" w:rsidP="002F5C9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Вступительное слово учителя биологии и учителя математики, постановка задач деятельности уч</w:t>
      </w:r>
      <w:r w:rsidR="0068726E" w:rsidRPr="002F5C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ащихся</w:t>
      </w:r>
      <w:r w:rsidRPr="002F5C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FC7482" w:rsidRPr="002F5C95" w:rsidRDefault="00486AC6" w:rsidP="002F5C9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C7482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Активизация опорных знаний и умений.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 учащихся по изученной теме «Отношение»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Что называется ОТНОШЕНИЕМ ДВУХ ЧИСЕЛ? Найти отношения: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5"/>
        <w:gridCol w:w="1920"/>
        <w:gridCol w:w="1485"/>
      </w:tblGrid>
      <w:tr w:rsidR="00FC7482" w:rsidRPr="002F5C95" w:rsidTr="0068726E">
        <w:trPr>
          <w:jc w:val="center"/>
        </w:trPr>
        <w:tc>
          <w:tcPr>
            <w:tcW w:w="17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 к 32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к 92</w:t>
            </w:r>
          </w:p>
        </w:tc>
        <w:tc>
          <w:tcPr>
            <w:tcW w:w="14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 5</w:t>
            </w:r>
          </w:p>
        </w:tc>
      </w:tr>
      <w:tr w:rsidR="00FC7482" w:rsidRPr="002F5C95" w:rsidTr="0068726E">
        <w:trPr>
          <w:jc w:val="center"/>
        </w:trPr>
        <w:tc>
          <w:tcPr>
            <w:tcW w:w="17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 к 3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к 28</w:t>
            </w:r>
          </w:p>
        </w:tc>
        <w:tc>
          <w:tcPr>
            <w:tcW w:w="14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 8</w:t>
            </w:r>
          </w:p>
        </w:tc>
      </w:tr>
      <w:tr w:rsidR="00FC7482" w:rsidRPr="002F5C95" w:rsidTr="0068726E">
        <w:trPr>
          <w:jc w:val="center"/>
        </w:trPr>
        <w:tc>
          <w:tcPr>
            <w:tcW w:w="17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 к 12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12,46 к 24,92</w:t>
            </w:r>
          </w:p>
        </w:tc>
        <w:tc>
          <w:tcPr>
            <w:tcW w:w="14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 13</w:t>
            </w:r>
          </w:p>
        </w:tc>
      </w:tr>
      <w:tr w:rsidR="00FC7482" w:rsidRPr="002F5C95" w:rsidTr="0068726E">
        <w:trPr>
          <w:jc w:val="center"/>
        </w:trPr>
        <w:tc>
          <w:tcPr>
            <w:tcW w:w="17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к 240.</w:t>
            </w:r>
          </w:p>
        </w:tc>
        <w:tc>
          <w:tcPr>
            <w:tcW w:w="19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к 82</w:t>
            </w:r>
          </w:p>
        </w:tc>
        <w:tc>
          <w:tcPr>
            <w:tcW w:w="14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к 55</w:t>
            </w:r>
          </w:p>
        </w:tc>
      </w:tr>
    </w:tbl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0"/>
        <w:gridCol w:w="440"/>
        <w:gridCol w:w="872"/>
      </w:tblGrid>
      <w:tr w:rsidR="00FC7482" w:rsidRPr="002F5C95" w:rsidTr="0068726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C7482" w:rsidRPr="002F5C95" w:rsidTr="0068726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0,625</w:t>
            </w:r>
          </w:p>
        </w:tc>
      </w:tr>
      <w:tr w:rsidR="00FC7482" w:rsidRPr="002F5C95" w:rsidTr="0068726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~0,615</w:t>
            </w:r>
          </w:p>
        </w:tc>
      </w:tr>
      <w:tr w:rsidR="00FC7482" w:rsidRPr="002F5C95" w:rsidTr="0068726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~0,618</w:t>
            </w:r>
          </w:p>
        </w:tc>
      </w:tr>
    </w:tbl>
    <w:p w:rsid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– Что показывает отношение двух чисел? </w:t>
      </w: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 сколько раз первое число больше второго; какую часть первое число составляет от второго.)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>– Какую закономерность вы заметили? </w:t>
      </w: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 втором столбике получили ответ 0,5, а в третьем ~0,6)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– Подумайте: какие отношения чаще можно обнаружить в окружающих нас предметах?</w:t>
      </w:r>
    </w:p>
    <w:p w:rsidR="00486AC6" w:rsidRPr="002F5C95" w:rsidRDefault="00486AC6" w:rsidP="002F5C9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1) Нахождение отношений, исследуя окружающие нас предметы.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– Измерим длину и ширину окна; расстояние между листьями фикуса, находящегося в классной комнате и найдем соответственные отношения; также измерим различные части тела ученика (по рисунку на стр.151 учебника) и также найдем отношения между полученными результатами измерений.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тетрадях учащихся записываются результаты всех измерений и соответственных отношений.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Окружающие нас предметы часто дают примеры «золотых отношений» ~0,6.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2) Учащиеся исследовательской группы знакомят с материалами своей работы.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Знакомство с понятием «пропорция»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 (определение).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Равенство двух отношений называют пропорцией.</w:t>
      </w:r>
    </w:p>
    <w:p w:rsidR="00486AC6" w:rsidRPr="002F5C95" w:rsidRDefault="00B67C2A" w:rsidP="002F5C95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20320</wp:posOffset>
            </wp:positionH>
            <wp:positionV relativeFrom="line">
              <wp:posOffset>112395</wp:posOffset>
            </wp:positionV>
            <wp:extent cx="1095375" cy="1266825"/>
            <wp:effectExtent l="19050" t="0" r="9525" b="0"/>
            <wp:wrapSquare wrapText="bothSides"/>
            <wp:docPr id="12" name="Рисунок 16" descr="Описание: http://festival.1september.ru/articles/565331/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festival.1september.ru/articles/565331/img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390525"/>
            <wp:effectExtent l="19050" t="0" r="0" b="0"/>
            <wp:docPr id="1" name="Рисунок 13" descr="Описание: http://festival.1september.ru/articles/565331/img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festival.1september.ru/articles/565331/img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> или  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390525"/>
            <wp:effectExtent l="19050" t="0" r="0" b="0"/>
            <wp:docPr id="2" name="Рисунок 12" descr="Описание: http://festival.1september.ru/articles/56533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festival.1september.ru/articles/565331/img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«Золотая пропорция» (определение; нахождение «золотой середины» при помощи 2-у квадратов).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Открытие пропорций принадлежит к заслугам древневосточной математики, античная же традиция связывает его с именем 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выдающегося философа и математика Пифагора.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>Универсальный принцип гармонии и красоты в пропорциях получил название «золотое сечение», которое олицетворяло равновесие знания, чувств и силы. Золотое сечение возникает при деление отрезка на две неравные части, таким образом, при котором весь отрезок относится к большей его части, как большая к меньшей (0,618).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a : b = b : c или с : b = b : а.</w:t>
      </w:r>
    </w:p>
    <w:p w:rsidR="00486AC6" w:rsidRPr="002F5C95" w:rsidRDefault="00B67C2A" w:rsidP="002F5C95">
      <w:pPr>
        <w:pStyle w:val="a9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752475"/>
            <wp:effectExtent l="19050" t="0" r="9525" b="0"/>
            <wp:docPr id="3" name="Рисунок 11" descr="Описание: http://festival.1september.ru/articles/5653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festival.1september.ru/articles/565331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Рис. 1.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 Геометрическое изображение золотой пропорции</w:t>
      </w:r>
    </w:p>
    <w:tbl>
      <w:tblPr>
        <w:tblW w:w="0" w:type="auto"/>
        <w:tblInd w:w="678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27"/>
        <w:gridCol w:w="4650"/>
      </w:tblGrid>
      <w:tr w:rsidR="00FC7482" w:rsidRPr="002F5C95" w:rsidTr="00486AC6">
        <w:tc>
          <w:tcPr>
            <w:tcW w:w="0" w:type="auto"/>
            <w:shd w:val="clear" w:color="auto" w:fill="auto"/>
            <w:vAlign w:val="bottom"/>
            <w:hideMark/>
          </w:tcPr>
          <w:p w:rsidR="00486AC6" w:rsidRPr="002F5C95" w:rsidRDefault="00B67C2A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800225"/>
                  <wp:effectExtent l="19050" t="0" r="0" b="0"/>
                  <wp:docPr id="4" name="Рисунок 10" descr="Описание: http://festival.1september.ru/articles/565331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festival.1september.ru/articles/565331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Рис. 2.</w:t>
            </w: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Расположение листьев фикуса</w:t>
            </w: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«золотой пропорции»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6AC6" w:rsidRPr="002F5C95" w:rsidRDefault="00B67C2A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2286000"/>
                  <wp:effectExtent l="19050" t="0" r="0" b="0"/>
                  <wp:docPr id="5" name="Рисунок 9" descr="Описание: http://festival.1september.ru/articles/565331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festival.1september.ru/articles/565331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C6" w:rsidRPr="002F5C95" w:rsidRDefault="00486AC6" w:rsidP="002F5C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C9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Рис. 3.</w:t>
            </w: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Нахождение «золотой середины»</w:t>
            </w:r>
            <w:r w:rsidRPr="002F5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 помощи 2-х квадратов</w:t>
            </w:r>
          </w:p>
        </w:tc>
      </w:tr>
    </w:tbl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Учащиеся в тетрадях выполняют построения на нахождение «золотой середины» при помощи двух квадратов.</w:t>
      </w:r>
    </w:p>
    <w:p w:rsidR="00FC7482" w:rsidRPr="002F5C95" w:rsidRDefault="00FC7482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Прослушивание докладов и сообщений учащихся.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 «Как использовали пропорцию для изображения человеческой фигуры в Древнем Египте и в Древней Греции»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 (с иллюстрациями).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Пропорциями называются размерные соотношения элементов или частей формы между собой, а также между различными объектами.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Пропорция – это гармонизация формы художественного произведения, 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пропорциональность – её эстетическое качество. Соразмерность частей образуют красоту формы. В основе определения пропорций лежит метод сравнения. Все эти свойства лежат и в основе грамотного рисунка.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Древнем Египте для изображений человеческой фигуры был разработан канон – то есть такая система пропорций человеческой фигуры, которая делила изображение на части и позволяла по части определить целое и по одной части тела определить другую. Известно, что египтяне положили в основу деления фигуры 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t>на 21 часть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. В это число входили 19 равных частей разделения самой фигуры, а 2  части приходились на изображение традиционного головного убора.</w:t>
      </w:r>
    </w:p>
    <w:p w:rsidR="00486AC6" w:rsidRPr="002F5C95" w:rsidRDefault="00B67C2A" w:rsidP="002F5C95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22860</wp:posOffset>
            </wp:positionV>
            <wp:extent cx="2200275" cy="2005330"/>
            <wp:effectExtent l="19050" t="0" r="9525" b="0"/>
            <wp:wrapSquare wrapText="bothSides"/>
            <wp:docPr id="11" name="Рисунок 8" descr="Описание: http://festival.1september.ru/articles/56533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festival.1september.ru/articles/565331/img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>Египтяне пользовались и специальными сетками – таблицами, которые наносили на поверхность каменной плиты или стены для создания рельефа или росписи. На сохранившихся и дошедших до нас памятниках можно видеть, что соответствует членению фигур на части. Были установлены также определенные размеры для изображения сидящих фигур и изображения, разных богов. Художнику необходимо было знать установленные каноном нормы и научиться вписывать в них изображения, пользуясь сеткой – таблицей. Единая система обучения и строгое соблюдение выработанных норм позволяли выполнять части одного произведения разными мастерами. Когда такие части составляли в единую композицию, то они точно сходились, и не было нарушения пропорций.</w:t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6AC6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 «</w:t>
      </w:r>
      <w:r w:rsidR="00FC7482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Золотая пропорция и портрет Мон</w:t>
      </w:r>
      <w:r w:rsidR="00486AC6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Лизы»</w:t>
      </w:r>
    </w:p>
    <w:p w:rsidR="00486AC6" w:rsidRPr="002F5C95" w:rsidRDefault="00B67C2A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77470</wp:posOffset>
            </wp:positionH>
            <wp:positionV relativeFrom="line">
              <wp:posOffset>9525</wp:posOffset>
            </wp:positionV>
            <wp:extent cx="1438275" cy="2162175"/>
            <wp:effectExtent l="19050" t="0" r="9525" b="0"/>
            <wp:wrapSquare wrapText="bothSides"/>
            <wp:docPr id="10" name="Рисунок 15" descr="Описание: http://festival.1september.ru/articles/565331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festival.1september.ru/articles/565331/img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>Леонардо Да Вини, изучавший и глубоко анализировавший опыт древних,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разрабатывая правила изображения человеческой фигуры, пытался на основе литературных сведений восстановил так называемый «квадрат древних». Он выполнил рисунок, в котором </w:t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показана пропорциональная закономерность в соотношении ча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t>стей тела человека.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>Портрет Мон</w:t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>ы Лизы (Джоконды) долгие годы привлекает внимание исследователей, которые обнаружили, что композиция рисунка основана на золотых треугольниках, являющихся частями правильного звездчатого пятиугольника.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Существует очень много версий об истории этого портрета. Вот одна из них. Однажды Леонардо да Винчи получил заказ от банкира Франческо деле Джокондо написать портрет молодой женщины, ж</w:t>
      </w:r>
      <w:r w:rsidR="00FC7482" w:rsidRPr="002F5C95">
        <w:rPr>
          <w:rFonts w:ascii="Times New Roman" w:eastAsia="Times New Roman" w:hAnsi="Times New Roman"/>
          <w:sz w:val="28"/>
          <w:szCs w:val="28"/>
          <w:lang w:eastAsia="ru-RU"/>
        </w:rPr>
        <w:t>ены банкира, Мо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ны Лизы. Женщина не была красива, но в ней привлекала простота и естественность облика. Леонардо согласился писать портрет. Его модель была печальной и грустной, но Леонардо рассказал ей сказку, услышав которую, она стала живой и интересной.</w:t>
      </w:r>
    </w:p>
    <w:p w:rsidR="00486AC6" w:rsidRPr="002F5C95" w:rsidRDefault="00486AC6" w:rsidP="002F5C95">
      <w:pPr>
        <w:pStyle w:val="a9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Сказка</w:t>
      </w:r>
    </w:p>
    <w:p w:rsid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 xml:space="preserve">Жил-был один бедный человек, было у него четыре сына: три умных, а один из них и так, и сяк. И вот пришла за отцом смерть. Перед тем, как расстаться с жизнью, он позвал к себе детей и сказал: “Сыны мои, скоро я умру. Как только вы схороните меня, заприте хижину и идите на край света добывать себе счастья. Пусть каждый из вас чему-нибудь научится, чтобы мог кормить сам себя”. Отец умер, а сыновья разошлись по свету, договорившись спустя три года вернуться на поляну родной рощи. Пришел первый брат, который научился плотничать, срубил дерево и обтесал его, сделал из него женщину, отошел немного и ждет. Вернулся второй брат, увидел деревянную женщину и, так как он был портной, в одну минуту одел ее: как искусный мастер он сшил для нее красивую шелковую одежду. Третий сын украсил женщину золотом и драгоценными камнями – ведь он был ювелир. Наконец, пришел четвертый брат. Он не умел плотничать и шить, он умел только слушать, что говорит земля, деревья, травы, звери и птицы, знал ход небесных тел и еще умел петь чудесные песни. Он запел песню, от которой заплакали притаившиеся за кустами братья. Песней этой он оживил женщину, она 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улыбнулась и вздохнула. Братья бросились к ней, и каждый кричал одно и то же: “Ты должна быть моей женой”. Но женщина ответила: “Ты меня создал – будь мне отцом. Ты меня одел, а ты украсил – будьте мне братьями. А ты, что вдохнул в меня душу и научил радоваться жизни, ты один мне нужен на всю жизнь”.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Кончив сказку, Леонардо взглянул на Мону Лизу, ее лицо озарилось светом, глаза сияли. Потом, точно пробудившись от сна, она вздохнула, провела по лицу рукой и без слов пошла на свое место, сложила руки и приняла обычную позу. Но дело было сделано – художник пробудил равнодушную статую; улыбка блаженства, медленно исчезая с ее лица, осталась в уголках рта и трепетала, придавая лицу изумительное, загадочное и чуть лукавое выражение, как у человека, который узнал тайну и, бережно ее, храня, не может сдержать торжество. Леонардо молча работал, боясь упустить этот момент, этот луч солнца, осветивший его скучную модель.</w:t>
      </w:r>
    </w:p>
    <w:p w:rsidR="00486AC6" w:rsidRPr="002F5C95" w:rsidRDefault="00486AC6" w:rsidP="002F5C95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C7482" w:rsidRPr="002F5C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Работа в группах</w:t>
      </w:r>
      <w:r w:rsidR="00FC7482" w:rsidRPr="002F5C9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- </w:t>
      </w:r>
      <w:r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проектов учащимися  в мини-группах  по следующим направлениям:</w:t>
      </w:r>
    </w:p>
    <w:p w:rsidR="00486AC6" w:rsidRPr="002F5C95" w:rsidRDefault="00FC7482" w:rsidP="002F5C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6AC6"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>«Золотая пропорция в строении лица человека»;</w:t>
      </w:r>
    </w:p>
    <w:p w:rsidR="00486AC6" w:rsidRPr="002F5C95" w:rsidRDefault="00486AC6" w:rsidP="002F5C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>«Золотая пропорция в строении руки человека»</w:t>
      </w:r>
      <w:r w:rsidR="00FC7482"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FC7482" w:rsidRPr="002F5C95" w:rsidRDefault="00FC7482" w:rsidP="002F5C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sz w:val="28"/>
          <w:szCs w:val="28"/>
          <w:lang w:eastAsia="ru-RU"/>
        </w:rPr>
        <w:t>«Золотая пропорция в строении раковин моллюсков».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1 группе: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«Золотая пропорция в строении лица человека»  Произвести следующие измерения:</w:t>
      </w:r>
    </w:p>
    <w:p w:rsidR="00486AC6" w:rsidRPr="002F5C95" w:rsidRDefault="00486AC6" w:rsidP="002F5C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От верхушки лба  до окончания подбородка;</w:t>
      </w:r>
    </w:p>
    <w:p w:rsidR="00486AC6" w:rsidRPr="002F5C95" w:rsidRDefault="00486AC6" w:rsidP="002F5C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От  верхушки лба до кончика носа;</w:t>
      </w:r>
    </w:p>
    <w:p w:rsidR="00486AC6" w:rsidRPr="002F5C95" w:rsidRDefault="00486AC6" w:rsidP="002F5C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От кончика носа до кончика подбородка.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2 группе 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«Золотая пропорция в строении руки человека»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Произвести следующие измерения:</w:t>
      </w:r>
    </w:p>
    <w:p w:rsidR="00486AC6" w:rsidRPr="002F5C95" w:rsidRDefault="00486AC6" w:rsidP="002F5C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Всей руки;</w:t>
      </w:r>
    </w:p>
    <w:p w:rsidR="00486AC6" w:rsidRPr="002F5C95" w:rsidRDefault="00486AC6" w:rsidP="002F5C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От кончиков пальцев до локтя;</w:t>
      </w:r>
    </w:p>
    <w:p w:rsidR="00486AC6" w:rsidRPr="002F5C95" w:rsidRDefault="00486AC6" w:rsidP="002F5C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Кисти.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3 группе 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«Золотая пропорция в строении раковин моллюсков»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Записать данные в таблицу.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Нахождение золотого числа (1,618) посредством деления предыдущего столбца на последующий.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Сделать вывод.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 Из таблицы видно, что соотношение между частями тела неидеально, но приближённо к золотому числу 1,618. Наши измерения находятся в пределах от 1,3 до 2,3, то есть погрешность составляет 0,3—0,7.</w:t>
      </w:r>
    </w:p>
    <w:p w:rsidR="00486AC6" w:rsidRPr="002F5C95" w:rsidRDefault="00486AC6" w:rsidP="002F5C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Защита проектов мини-групп, подведение итогов исследовательской работы.</w:t>
      </w:r>
    </w:p>
    <w:p w:rsidR="00486AC6" w:rsidRPr="002F5C95" w:rsidRDefault="00FC7482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86AC6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Итог урока</w:t>
      </w: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Рефлексия.</w:t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Итоговая оценка: себе </w:t>
      </w:r>
      <w:r w:rsidR="00B67C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085850"/>
            <wp:effectExtent l="19050" t="0" r="0" b="0"/>
            <wp:docPr id="6" name="Рисунок 4" descr="Описание: http://festival.1september.ru/articles/565331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65331/img3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 и творческой группе </w:t>
      </w:r>
      <w:r w:rsidR="00B67C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028700"/>
            <wp:effectExtent l="19050" t="0" r="0" b="0"/>
            <wp:docPr id="7" name="Рисунок 3" descr="Описание: http://festival.1september.ru/articles/565331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65331/img3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C6" w:rsidRPr="002F5C95" w:rsidRDefault="00486AC6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Я сегодня узнал__________________________________________</w:t>
      </w:r>
      <w:r w:rsidR="002F5C9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>научился _______________________________________________</w:t>
      </w:r>
      <w:r w:rsidR="002F5C9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  <w:t>Мне осталось непонятным __________________________________________.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67C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19050" t="0" r="9525" b="0"/>
            <wp:docPr id="8" name="Рисунок 2" descr="Описание: http://festival.1september.ru/articles/565331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565331/img3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Моё настроение</w:t>
      </w:r>
    </w:p>
    <w:p w:rsidR="00486AC6" w:rsidRPr="002F5C95" w:rsidRDefault="00B67C2A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781050"/>
            <wp:effectExtent l="19050" t="0" r="9525" b="0"/>
            <wp:docPr id="9" name="Рисунок 1" descr="Описание: http://festival.1september.ru/articles/56533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565331/img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C6" w:rsidRPr="002F5C95" w:rsidRDefault="00FC7482" w:rsidP="002F5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486AC6" w:rsidRPr="002F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Домашнее задание:</w:t>
      </w:r>
      <w:r w:rsidR="00486AC6" w:rsidRPr="002F5C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F5C95">
        <w:rPr>
          <w:rFonts w:ascii="Times New Roman" w:eastAsia="Times New Roman" w:hAnsi="Times New Roman"/>
          <w:sz w:val="28"/>
          <w:szCs w:val="28"/>
          <w:lang w:eastAsia="ru-RU"/>
        </w:rPr>
        <w:t>подготовка презентаций по темам «Числа Фибоначчи», «Золотые пропорции в строении тела человека и в природе».</w:t>
      </w:r>
    </w:p>
    <w:p w:rsidR="002E6537" w:rsidRPr="002F5C95" w:rsidRDefault="002E6537" w:rsidP="002F5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E6537" w:rsidRPr="002F5C95" w:rsidSect="002F5C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00"/>
    <w:multiLevelType w:val="multilevel"/>
    <w:tmpl w:val="56F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47F0"/>
    <w:multiLevelType w:val="hybridMultilevel"/>
    <w:tmpl w:val="9EB88CB8"/>
    <w:lvl w:ilvl="0" w:tplc="1116E3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D30"/>
    <w:multiLevelType w:val="multilevel"/>
    <w:tmpl w:val="697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3824"/>
    <w:multiLevelType w:val="multilevel"/>
    <w:tmpl w:val="1DB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505C"/>
    <w:multiLevelType w:val="multilevel"/>
    <w:tmpl w:val="1E76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53705"/>
    <w:multiLevelType w:val="multilevel"/>
    <w:tmpl w:val="CD0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971F5"/>
    <w:multiLevelType w:val="multilevel"/>
    <w:tmpl w:val="20E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C2FAF"/>
    <w:multiLevelType w:val="multilevel"/>
    <w:tmpl w:val="2E4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6AC6"/>
    <w:rsid w:val="00206173"/>
    <w:rsid w:val="002E6537"/>
    <w:rsid w:val="002F5C95"/>
    <w:rsid w:val="00486AC6"/>
    <w:rsid w:val="0068726E"/>
    <w:rsid w:val="00B67C2A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6AC6"/>
    <w:rPr>
      <w:b/>
      <w:bCs/>
    </w:rPr>
  </w:style>
  <w:style w:type="character" w:customStyle="1" w:styleId="apple-converted-space">
    <w:name w:val="apple-converted-space"/>
    <w:rsid w:val="00486AC6"/>
  </w:style>
  <w:style w:type="character" w:styleId="a5">
    <w:name w:val="Emphasis"/>
    <w:uiPriority w:val="20"/>
    <w:qFormat/>
    <w:rsid w:val="00486A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6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8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486AC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6AC6"/>
    <w:pPr>
      <w:ind w:left="720"/>
      <w:contextualSpacing/>
    </w:pPr>
  </w:style>
  <w:style w:type="table" w:styleId="aa">
    <w:name w:val="Table Grid"/>
    <w:basedOn w:val="a1"/>
    <w:uiPriority w:val="59"/>
    <w:rsid w:val="002F5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67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B67C2A"/>
  </w:style>
  <w:style w:type="character" w:customStyle="1" w:styleId="c0">
    <w:name w:val="c0"/>
    <w:basedOn w:val="a0"/>
    <w:rsid w:val="00B67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voe.11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2018-02-12T03:45:00Z</dcterms:created>
  <dcterms:modified xsi:type="dcterms:W3CDTF">2018-02-12T03:45:00Z</dcterms:modified>
</cp:coreProperties>
</file>